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8"/>
        <w:pBdr/>
        <w:spacing/>
        <w:ind/>
        <w:rPr/>
      </w:pPr>
      <w:r>
        <w:t xml:space="preserve">Regionalne Centrum Medyczne</w:t>
        <w:tab/>
        <w:tab/>
        <w:tab/>
        <w:tab/>
        <w:tab/>
        <w:t xml:space="preserve">Białogard, 10.06.2024 r.</w:t>
      </w:r>
      <w:r/>
    </w:p>
    <w:p>
      <w:pPr>
        <w:pStyle w:val="858"/>
        <w:pBdr/>
        <w:spacing/>
        <w:ind/>
        <w:rPr/>
      </w:pPr>
      <w:r>
        <w:t xml:space="preserve">w Białogardzie Sp. z o.o.</w:t>
      </w:r>
      <w:r/>
    </w:p>
    <w:p>
      <w:pPr>
        <w:pStyle w:val="858"/>
        <w:pBdr/>
        <w:spacing/>
        <w:ind/>
        <w:rPr/>
      </w:pPr>
      <w:r>
        <w:t xml:space="preserve">ul. Chopina 29</w:t>
      </w:r>
      <w:r/>
    </w:p>
    <w:p>
      <w:pPr>
        <w:pStyle w:val="858"/>
        <w:pBdr/>
        <w:spacing/>
        <w:ind/>
        <w:rPr/>
      </w:pPr>
      <w:r>
        <w:t xml:space="preserve">78-200 Białogard</w:t>
      </w:r>
      <w:r/>
    </w:p>
    <w:p>
      <w:pPr>
        <w:pStyle w:val="858"/>
        <w:pBdr/>
        <w:spacing/>
        <w:ind/>
        <w:rPr/>
      </w:pPr>
      <w:r/>
      <w:r/>
    </w:p>
    <w:p>
      <w:pPr>
        <w:pStyle w:val="858"/>
        <w:pBdr/>
        <w:spacing/>
        <w:ind/>
        <w:rPr/>
      </w:pPr>
      <w:r/>
      <w:r/>
    </w:p>
    <w:p>
      <w:pPr>
        <w:pStyle w:val="858"/>
        <w:pBdr/>
        <w:spacing/>
        <w:ind/>
        <w:rPr/>
      </w:pPr>
      <w:r/>
      <w:r/>
    </w:p>
    <w:p>
      <w:pPr>
        <w:pStyle w:val="858"/>
        <w:pBdr/>
        <w:spacing/>
        <w:ind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Polityka oraz procedury ochrony dzieci przed krzywdzeniem</w:t>
      </w: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p>
      <w:pPr>
        <w:pStyle w:val="858"/>
        <w:pBdr/>
        <w:spacing/>
        <w:ind/>
        <w:rPr>
          <w:b/>
          <w:sz w:val="40"/>
          <w:szCs w:val="40"/>
        </w:rPr>
      </w:pPr>
      <w:r>
        <w:rPr>
          <w:b/>
          <w:sz w:val="40"/>
          <w:szCs w:val="40"/>
        </w:rPr>
      </w: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p>
      <w:pPr>
        <w:pStyle w:val="858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Prambuła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pBdr/>
        <w:spacing/>
        <w:ind/>
        <w:jc w:val="both"/>
        <w:rPr/>
      </w:pPr>
      <w:r>
        <w:t xml:space="preserve">Podstawową zasadą wszystkich działań podejmowanych przez pracowników placówki jest działanie dla dobra dziecka i w jego najlepszym interesie. Pracownik placówki traktuje dziecko z szacunkiem oraz uwzględ</w:t>
      </w:r>
      <w:r>
        <w:t xml:space="preserve">nia jego potrzeby. Niedopuszczalne jest stosowanie przez pracownika wobec dziecka przemocy w jakiejkolwiek formie. Pracownik placówki, realizując te cele, działa w ramach obowiązującego prawa, przepisów wewnętrznych danej placówki oraz swoich kompetencji. 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Objaśnienie terminów używanych w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58"/>
        <w:pBdr/>
        <w:spacing/>
        <w:ind/>
        <w:jc w:val="center"/>
        <w:rPr>
          <w:b/>
          <w:color w:val="0000ff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dokumencie Polityka Ochrony Dzieci</w:t>
      </w:r>
      <w:r>
        <w:rPr>
          <w:b/>
          <w:color w:val="0000ff"/>
          <w:sz w:val="28"/>
          <w:szCs w:val="28"/>
        </w:rPr>
      </w:r>
      <w:r>
        <w:rPr>
          <w:b/>
          <w:color w:val="0000ff"/>
          <w:sz w:val="28"/>
          <w:szCs w:val="28"/>
        </w:rPr>
      </w:r>
    </w:p>
    <w:p>
      <w:pPr>
        <w:pStyle w:val="858"/>
        <w:pBdr/>
        <w:spacing/>
        <w:ind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</w:r>
      <w:r>
        <w:rPr>
          <w:b/>
          <w:color w:val="0000ff"/>
          <w:sz w:val="28"/>
          <w:szCs w:val="28"/>
        </w:rPr>
      </w:r>
      <w:r>
        <w:rPr>
          <w:b/>
          <w:color w:val="0000ff"/>
          <w:sz w:val="28"/>
          <w:szCs w:val="28"/>
        </w:rPr>
      </w:r>
    </w:p>
    <w:p>
      <w:pPr>
        <w:pStyle w:val="858"/>
        <w:numPr>
          <w:ilvl w:val="0"/>
          <w:numId w:val="12"/>
        </w:numPr>
        <w:pBdr/>
        <w:spacing/>
        <w:ind/>
        <w:jc w:val="both"/>
        <w:rPr/>
      </w:pPr>
      <w:r>
        <w:t xml:space="preserve">Standardy Ochrony Dzieci (SOD) – to zasady wprowadzane w instytucjach, organizacjac</w:t>
      </w:r>
      <w:r>
        <w:t xml:space="preserve">h, placówkach, które świadczą usługi na rzecz dzieci, pracują z dziećmi i/lub w których dzieci przebywają bez opieki rodziców/opiekunów prawnych (oświata, placówki pobytu stałego, turystyka, pomoc humanitarna etc.) w celu ochrony dzieci przed krzywdzeniem.</w:t>
      </w:r>
      <w:r/>
    </w:p>
    <w:p>
      <w:pPr>
        <w:pStyle w:val="858"/>
        <w:numPr>
          <w:ilvl w:val="0"/>
          <w:numId w:val="12"/>
        </w:numPr>
        <w:pBdr/>
        <w:spacing/>
        <w:ind/>
        <w:rPr/>
      </w:pPr>
      <w:r>
        <w:t xml:space="preserve">Dziecko – każda osoba do ukończenia 18 roku życia.</w:t>
      </w:r>
      <w:r/>
    </w:p>
    <w:p>
      <w:pPr>
        <w:pStyle w:val="858"/>
        <w:numPr>
          <w:ilvl w:val="0"/>
          <w:numId w:val="12"/>
        </w:numPr>
        <w:pBdr/>
        <w:spacing/>
        <w:ind/>
        <w:jc w:val="both"/>
        <w:rPr/>
      </w:pPr>
      <w:r>
        <w:t xml:space="preserve">Placówka systemu ochrony zdrowia, placówka medyczna – każda placówka prowadząca działalność leczniczą bez względu na formę prawną i źródło finansowania, świadcząca usługi dzieciom lub działająca na rzecz dzieci.</w:t>
      </w:r>
      <w:r/>
    </w:p>
    <w:p>
      <w:pPr>
        <w:pStyle w:val="858"/>
        <w:numPr>
          <w:ilvl w:val="0"/>
          <w:numId w:val="12"/>
        </w:numPr>
        <w:pBdr/>
        <w:spacing/>
        <w:ind/>
        <w:jc w:val="both"/>
        <w:rPr/>
      </w:pPr>
      <w:r>
        <w:t xml:space="preserve">Kierownictwo – osoba, która w strukturze danej placówki jest uprawniona do podejmowania decyzji o działaniach instytucji.</w:t>
      </w:r>
      <w:r/>
    </w:p>
    <w:p>
      <w:pPr>
        <w:pStyle w:val="858"/>
        <w:numPr>
          <w:ilvl w:val="0"/>
          <w:numId w:val="12"/>
        </w:numPr>
        <w:pBdr/>
        <w:spacing/>
        <w:ind/>
        <w:jc w:val="both"/>
        <w:rPr/>
      </w:pPr>
      <w:r>
        <w:t xml:space="preserve">Krzywdzenie dziecka – popełnienie czynu zabronionego lub czynu karalnego za szkodę dziecka, przemoc wobec dziecka lub zagrożenie dobra dziecka, w tym jego zaniedbanie.</w:t>
      </w:r>
      <w:r/>
    </w:p>
    <w:p>
      <w:pPr>
        <w:pStyle w:val="858"/>
        <w:numPr>
          <w:ilvl w:val="0"/>
          <w:numId w:val="12"/>
        </w:numPr>
        <w:pBdr/>
        <w:spacing/>
        <w:ind/>
        <w:jc w:val="both"/>
        <w:rPr/>
      </w:pPr>
      <w:r>
        <w:t xml:space="preserve">Personel – każdy pracownik placówki medycznej bez względu na formę zatrudnienia, w tym współpracownik, stażysta, wolontariusz lub inna osoba, która z racji pełnionej funkcji lub zadań ma (nawet potencjalny) kontakt z dziećmi. </w:t>
      </w:r>
      <w:r/>
    </w:p>
    <w:p>
      <w:pPr>
        <w:pStyle w:val="858"/>
        <w:numPr>
          <w:ilvl w:val="0"/>
          <w:numId w:val="12"/>
        </w:numPr>
        <w:pBdr/>
        <w:spacing/>
        <w:ind/>
        <w:jc w:val="both"/>
        <w:rPr/>
      </w:pPr>
      <w:r>
        <w:t xml:space="preserve">Opiekun dziecka – osoba uprawniona do reprezentacji dziecka, w szczególności jego rodzic lub opiekun prawny, a także rodzic zastępczy.</w:t>
      </w:r>
      <w:r/>
    </w:p>
    <w:p>
      <w:pPr>
        <w:pStyle w:val="858"/>
        <w:pBdr/>
        <w:spacing/>
        <w:ind w:right="0" w:left="360"/>
        <w:jc w:val="both"/>
        <w:rPr/>
      </w:pPr>
      <w:r>
        <w:t xml:space="preserve"> </w:t>
      </w:r>
      <w:r/>
    </w:p>
    <w:p>
      <w:pPr>
        <w:pStyle w:val="858"/>
        <w:numPr>
          <w:ilvl w:val="0"/>
          <w:numId w:val="7"/>
        </w:numPr>
        <w:pBdr/>
        <w:spacing/>
        <w:ind/>
        <w:jc w:val="both"/>
        <w:rPr/>
      </w:pPr>
      <w:r>
        <w:t xml:space="preserve">Przez krzywdzenie dziecka należy rozumieć popełnienie czynu zabronionego lub czynu karalnego na szkodę dziecka przez jakąkolwiek osobę, w tym pracownika placówki lub zagrożenie dobra dziecka w tym zaniedbywanie.</w:t>
      </w:r>
      <w:r/>
    </w:p>
    <w:p>
      <w:pPr>
        <w:pStyle w:val="858"/>
        <w:numPr>
          <w:ilvl w:val="0"/>
          <w:numId w:val="7"/>
        </w:numPr>
        <w:pBdr/>
        <w:spacing/>
        <w:ind/>
        <w:jc w:val="both"/>
        <w:rPr/>
      </w:pPr>
      <w:r>
        <w:t xml:space="preserve">Osoba odpowiedzialna za Politykę ochrony dzieci przed krzywdzeniem to wyznaczony przez Prezesa placówki pracownik sprawujący nadzór nad realizacją Polityki ochrony dzieci przed krzywdzeniem w placówce.</w:t>
      </w:r>
      <w:r/>
    </w:p>
    <w:p>
      <w:pPr>
        <w:pStyle w:val="858"/>
        <w:numPr>
          <w:ilvl w:val="0"/>
          <w:numId w:val="7"/>
        </w:numPr>
        <w:pBdr/>
        <w:spacing/>
        <w:ind/>
        <w:jc w:val="both"/>
        <w:rPr/>
      </w:pPr>
      <w:r>
        <w:t xml:space="preserve">Dane osobowe dziecka to wszelkie informacje umożliwiające identyfikacje dziecka.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center"/>
        <w:rPr>
          <w:b/>
          <w:color w:val="0000ff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Zasady rekrutacji personelu</w:t>
      </w:r>
      <w:r>
        <w:rPr>
          <w:b/>
          <w:color w:val="0000ff"/>
          <w:sz w:val="28"/>
          <w:szCs w:val="28"/>
        </w:rPr>
      </w:r>
      <w:r>
        <w:rPr>
          <w:b/>
          <w:color w:val="0000ff"/>
          <w:sz w:val="28"/>
          <w:szCs w:val="28"/>
        </w:rPr>
      </w:r>
    </w:p>
    <w:p>
      <w:pPr>
        <w:pStyle w:val="858"/>
        <w:pBdr/>
        <w:spacing/>
        <w:ind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</w:r>
      <w:r>
        <w:rPr>
          <w:b/>
          <w:color w:val="0000ff"/>
          <w:sz w:val="28"/>
          <w:szCs w:val="28"/>
        </w:rPr>
      </w:r>
      <w:r>
        <w:rPr>
          <w:b/>
          <w:color w:val="0000ff"/>
          <w:sz w:val="28"/>
          <w:szCs w:val="28"/>
        </w:rPr>
      </w:r>
    </w:p>
    <w:p>
      <w:pPr>
        <w:pStyle w:val="858"/>
        <w:pBdr/>
        <w:spacing/>
        <w:ind/>
        <w:jc w:val="center"/>
        <w:rPr/>
      </w:pPr>
      <w:r>
        <w:t xml:space="preserve">Zasady bezpiecznej rekrutacji w Regionalnym Centrum Medycznym</w:t>
      </w:r>
      <w:r/>
    </w:p>
    <w:p>
      <w:pPr>
        <w:pStyle w:val="858"/>
        <w:pBdr/>
        <w:spacing/>
        <w:ind/>
        <w:jc w:val="center"/>
        <w:rPr/>
      </w:pPr>
      <w:r>
        <w:t xml:space="preserve">w Białogardzie Sp. z o.o.</w:t>
      </w:r>
      <w:r/>
    </w:p>
    <w:p>
      <w:pPr>
        <w:pStyle w:val="858"/>
        <w:pBdr/>
        <w:spacing/>
        <w:ind/>
        <w:jc w:val="center"/>
        <w:rPr/>
      </w:pPr>
      <w:r/>
      <w:r/>
    </w:p>
    <w:p>
      <w:pPr>
        <w:pStyle w:val="858"/>
        <w:numPr>
          <w:ilvl w:val="0"/>
          <w:numId w:val="6"/>
        </w:numPr>
        <w:pBdr/>
        <w:spacing/>
        <w:ind/>
        <w:jc w:val="both"/>
        <w:rPr/>
      </w:pPr>
      <w:r>
        <w:t xml:space="preserve">Placówka musi zadbać, aby osoby przez nią zatrudnione (w tym osoby pracujące na podstawie umowy zlecenie, kontraktu oraz stażyści, p</w:t>
      </w:r>
      <w:r>
        <w:t xml:space="preserve">raktykanci) były dla dzieci bezpieczne. Aby sprawdzić powyższe, w tym stosunek osoby zatrudnionej do dzieci i podzielania wartości związanych z szacunkiem wobec nich oraz przestrzegania ich praw, placówka może żądać danych (w tym dokumentów) dotyczących:  </w:t>
      </w:r>
      <w:r/>
    </w:p>
    <w:p>
      <w:pPr>
        <w:pStyle w:val="858"/>
        <w:pBdr/>
        <w:spacing/>
        <w:ind w:right="0" w:left="360"/>
        <w:jc w:val="both"/>
        <w:rPr/>
      </w:pPr>
      <w:r/>
      <w:r/>
    </w:p>
    <w:p>
      <w:pPr>
        <w:pStyle w:val="858"/>
        <w:numPr>
          <w:ilvl w:val="0"/>
          <w:numId w:val="8"/>
        </w:numPr>
        <w:pBdr/>
        <w:spacing/>
        <w:ind/>
        <w:jc w:val="both"/>
        <w:rPr/>
      </w:pPr>
      <w:r>
        <w:t xml:space="preserve">wykształcenia,</w:t>
      </w:r>
      <w:r/>
    </w:p>
    <w:p>
      <w:pPr>
        <w:pStyle w:val="858"/>
        <w:numPr>
          <w:ilvl w:val="0"/>
          <w:numId w:val="8"/>
        </w:numPr>
        <w:pBdr/>
        <w:spacing/>
        <w:ind/>
        <w:jc w:val="both"/>
        <w:rPr/>
      </w:pPr>
      <w:r>
        <w:t xml:space="preserve">kwalifikacji zawodowych,</w:t>
      </w:r>
      <w:r/>
    </w:p>
    <w:p>
      <w:pPr>
        <w:pStyle w:val="858"/>
        <w:numPr>
          <w:ilvl w:val="0"/>
          <w:numId w:val="8"/>
        </w:numPr>
        <w:pBdr/>
        <w:spacing/>
        <w:ind/>
        <w:jc w:val="both"/>
        <w:rPr/>
      </w:pPr>
      <w:r>
        <w:t xml:space="preserve">przebiegu dotychczasowego zatrudnienia kandydata/kandydatki.</w:t>
      </w:r>
      <w:r/>
    </w:p>
    <w:p>
      <w:pPr>
        <w:pStyle w:val="858"/>
        <w:pBdr/>
        <w:spacing/>
        <w:ind w:right="0" w:left="1440"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>
        <w:t xml:space="preserve"> W każdym przypadku placówka musi posiadać dane pozwalające zidentyfikować osobę przez nią zatrudnioną, niezależnie od formy zatrudnienia. Placówka zatem powinna znać: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numPr>
          <w:ilvl w:val="0"/>
          <w:numId w:val="3"/>
        </w:numPr>
        <w:pBdr/>
        <w:spacing/>
        <w:ind/>
        <w:jc w:val="both"/>
        <w:rPr/>
      </w:pPr>
      <w:r>
        <w:t xml:space="preserve">imię (imiona) i nazwisko,</w:t>
      </w:r>
      <w:r/>
    </w:p>
    <w:p>
      <w:pPr>
        <w:pStyle w:val="858"/>
        <w:numPr>
          <w:ilvl w:val="0"/>
          <w:numId w:val="3"/>
        </w:numPr>
        <w:pBdr/>
        <w:spacing/>
        <w:ind/>
        <w:jc w:val="both"/>
        <w:rPr/>
      </w:pPr>
      <w:r>
        <w:t xml:space="preserve">datę urodzenia,</w:t>
      </w:r>
      <w:r/>
    </w:p>
    <w:p>
      <w:pPr>
        <w:pStyle w:val="858"/>
        <w:numPr>
          <w:ilvl w:val="0"/>
          <w:numId w:val="3"/>
        </w:numPr>
        <w:pBdr/>
        <w:spacing/>
        <w:ind/>
        <w:jc w:val="both"/>
        <w:rPr/>
      </w:pPr>
      <w:r>
        <w:t xml:space="preserve">dane kontaktowe osoby zatrudnianej.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numPr>
          <w:ilvl w:val="0"/>
          <w:numId w:val="6"/>
        </w:numPr>
        <w:pBdr/>
        <w:spacing/>
        <w:ind/>
        <w:jc w:val="both"/>
        <w:rPr/>
      </w:pPr>
      <w:r>
        <w:t xml:space="preserve">Placówka zobowiązana jest do sprawdzania osób zatrudnianych lub wykonujących swoje obowiązki na innej podstawie prawnej (w tym wolontariuszy/stażystów) w Rejestrze Sprawców Przestępstw na Tle Seksualnym (Rejestr z dostępem ograniczonym) oraz w </w:t>
      </w:r>
      <w:r>
        <w:rPr>
          <w:b/>
        </w:rPr>
        <w:t xml:space="preserve">Rejestrze osób, w stosunku do których Państwowa Komisja do spraw przeciwdziałania wykorzystaniu seksualnemu małoletnich poniżej lat 15 wydała postanowienie o wpisie w Rejestrze.</w:t>
      </w:r>
      <w:r>
        <w:t xml:space="preserve"> 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>
        <w:t xml:space="preserve">Obowiązek doty</w:t>
      </w:r>
      <w:r>
        <w:t xml:space="preserve">czy wprost działalności związanej z leczeniem małoletnich i nie ogranicza się wyłącznie do osób bezpośrednio i stale pracujących z dziećmi. Obowiązek ten odnosi się do wszystkich zawodów medycznych, w tym zawodów pomocniczych oraz praktykantów i stażystów.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>
        <w:t xml:space="preserve">Wydruk z Rejestru należy przechowywać w aktach osobowych pracownika lub w ramach analogicznej dokumentacji dotyczącej osoby zatrudnionej w oparciu o umowę cywilnoprawną.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>
        <w:t xml:space="preserve">Rejestr dostępny jest na stronie: </w:t>
      </w:r>
      <w:r>
        <w:rPr>
          <w:b/>
        </w:rPr>
        <w:t xml:space="preserve">rps.ms.gov.pl.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>
        <w:t xml:space="preserve">Aby sprawdzić osobę w Rejestrze placówka potrzebuje następujących danych kandydata/kandydatki: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numPr>
          <w:ilvl w:val="0"/>
          <w:numId w:val="10"/>
        </w:numPr>
        <w:pBdr/>
        <w:spacing/>
        <w:ind/>
        <w:jc w:val="both"/>
        <w:rPr/>
      </w:pPr>
      <w:r>
        <w:t xml:space="preserve">imię i nazwisko,</w:t>
      </w:r>
      <w:r/>
    </w:p>
    <w:p>
      <w:pPr>
        <w:pStyle w:val="858"/>
        <w:numPr>
          <w:ilvl w:val="0"/>
          <w:numId w:val="10"/>
        </w:numPr>
        <w:pBdr/>
        <w:spacing/>
        <w:ind/>
        <w:jc w:val="both"/>
        <w:rPr/>
      </w:pPr>
      <w:r>
        <w:t xml:space="preserve">data urodzenia,</w:t>
      </w:r>
      <w:r/>
    </w:p>
    <w:p>
      <w:pPr>
        <w:pStyle w:val="858"/>
        <w:numPr>
          <w:ilvl w:val="0"/>
          <w:numId w:val="10"/>
        </w:numPr>
        <w:pBdr/>
        <w:spacing/>
        <w:ind/>
        <w:jc w:val="both"/>
        <w:rPr/>
      </w:pPr>
      <w:r>
        <w:t xml:space="preserve">PESEL,</w:t>
      </w:r>
      <w:r/>
    </w:p>
    <w:p>
      <w:pPr>
        <w:pStyle w:val="858"/>
        <w:numPr>
          <w:ilvl w:val="0"/>
          <w:numId w:val="10"/>
        </w:numPr>
        <w:pBdr/>
        <w:spacing/>
        <w:ind/>
        <w:jc w:val="both"/>
        <w:rPr/>
      </w:pPr>
      <w:r>
        <w:t xml:space="preserve">nazwisko rodowe,</w:t>
      </w:r>
      <w:r/>
    </w:p>
    <w:p>
      <w:pPr>
        <w:pStyle w:val="858"/>
        <w:numPr>
          <w:ilvl w:val="0"/>
          <w:numId w:val="10"/>
        </w:numPr>
        <w:pBdr/>
        <w:spacing/>
        <w:ind/>
        <w:jc w:val="both"/>
        <w:rPr/>
      </w:pPr>
      <w:r>
        <w:t xml:space="preserve">imię ojca,</w:t>
      </w:r>
      <w:r/>
    </w:p>
    <w:p>
      <w:pPr>
        <w:pStyle w:val="858"/>
        <w:numPr>
          <w:ilvl w:val="0"/>
          <w:numId w:val="10"/>
        </w:numPr>
        <w:pBdr/>
        <w:spacing/>
        <w:ind/>
        <w:jc w:val="both"/>
        <w:rPr/>
      </w:pPr>
      <w:r>
        <w:t xml:space="preserve">imię matki.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numPr>
          <w:ilvl w:val="0"/>
          <w:numId w:val="6"/>
        </w:numPr>
        <w:pBdr/>
        <w:spacing/>
        <w:ind/>
        <w:jc w:val="both"/>
        <w:rPr/>
      </w:pPr>
      <w:r>
        <w:t xml:space="preserve">Weryfikacji niekaralności dokonuje się poprzez pobranie od kandydata informacji z rejestru karnego (w Polsce jest to Krajowy Rejestr Karny) o niekaralności w zakresie przestępstw określonych w rozdziale XIX i XXV Kodeksu karneg</w:t>
      </w:r>
      <w:r>
        <w:t xml:space="preserve">o, w art. 189a i art.207 Kodeksu karnego oraz ustawie z dnia 29 lipca 2055 r. o przeciwdziałaniu narkomanii (Dz. U. z 2023 r., poz. 172 oraz z 2022 r., poz. 2600) lub za odpowiadające tym przestępstwom czyny zabronione określone w przepisach prawa obcego. </w:t>
      </w:r>
      <w:r/>
    </w:p>
    <w:p>
      <w:pPr>
        <w:pStyle w:val="858"/>
        <w:pBdr/>
        <w:spacing/>
        <w:ind w:right="0" w:left="360"/>
        <w:jc w:val="both"/>
        <w:rPr/>
      </w:pPr>
      <w:r>
        <w:t xml:space="preserve">  </w:t>
      </w:r>
      <w:r/>
    </w:p>
    <w:p>
      <w:pPr>
        <w:pStyle w:val="858"/>
        <w:pBdr/>
        <w:spacing/>
        <w:ind w:right="0" w:left="360"/>
        <w:jc w:val="both"/>
        <w:rPr/>
      </w:pPr>
      <w:r>
        <w:t xml:space="preserve">Kandydaci, którzy posiadają obywatelstwo inne niż polskie, powinni przedłożyć również informację z r</w:t>
      </w:r>
      <w:r>
        <w:t xml:space="preserve">ejestru karnego państwa swojego obywatelstwa, uzyskiwaną do celów działalności zawodowej lub wolontariackiej związanej z kontaktami z dziećmi, bądź informację z rejestru karnego, jeżeli prawo tego państwa nie przewiduje wydawania informacji dla ww. celów. </w:t>
      </w:r>
      <w:r/>
    </w:p>
    <w:p>
      <w:pPr>
        <w:pStyle w:val="858"/>
        <w:pBdr/>
        <w:spacing/>
        <w:ind w:right="0" w:left="360"/>
        <w:jc w:val="both"/>
        <w:rPr/>
      </w:pPr>
      <w:r/>
      <w:r/>
    </w:p>
    <w:p>
      <w:pPr>
        <w:pStyle w:val="858"/>
        <w:pBdr/>
        <w:spacing/>
        <w:ind w:right="0" w:left="360"/>
        <w:jc w:val="both"/>
        <w:rPr/>
      </w:pPr>
      <w:r>
        <w:t xml:space="preserve">Kandydaci – niezależnie od obywatelstwa – powinni pod rygorem odpowiedzialności karnej składać również </w:t>
      </w:r>
      <w:r>
        <w:rPr>
          <w:b/>
        </w:rPr>
        <w:t xml:space="preserve">oświadczenie o państwie/państwach zamieszkiwania w ciągu 20 lat, innych niż Rzeczypospolita Polska i państwo obywatelstwa, a ponadto równoległe informacje z rejestrów karnych tychże państw</w:t>
      </w:r>
      <w:r>
        <w:t xml:space="preserve">.</w:t>
      </w:r>
      <w:r/>
    </w:p>
    <w:p>
      <w:pPr>
        <w:pStyle w:val="858"/>
        <w:pBdr/>
        <w:spacing/>
        <w:ind w:right="0" w:left="360"/>
        <w:jc w:val="both"/>
        <w:rPr/>
      </w:pPr>
      <w:r/>
      <w:r/>
    </w:p>
    <w:p>
      <w:pPr>
        <w:pStyle w:val="858"/>
        <w:pBdr/>
        <w:spacing/>
        <w:ind w:right="0" w:left="360"/>
        <w:jc w:val="both"/>
        <w:rPr/>
      </w:pPr>
      <w:r>
        <w:t xml:space="preserve">Jeżeli prawo państwa, z którego ma być przedłożona informacja o niekaralności, nie p</w:t>
      </w:r>
      <w:r>
        <w:t xml:space="preserve">rzewiduje wydawania takiej informacji lub nie prowadzi rejestru karnego, wówczas kandydaci składają pod rygorem odpowiedzialności karnej oświadczenie o tym fakcie wraz z oświadczeniem, że nie byli prawomocnie skazani w tym państwie za czyny zabronione odpo</w:t>
      </w:r>
      <w:r>
        <w:t xml:space="preserve">wiadające przestępstwom określonym w rozdziale XIX i XXV Kodeksu karnego, w art. 189a i art. 207 Kodeksu karnego oraz w ustawie z dnia 29 lipca 2005 r. o przeciwdziałaniu narkomanii; że nie wydano wobec nich także innego orzeczenia, w którym stwierdzono, i</w:t>
      </w:r>
      <w:r>
        <w:t xml:space="preserve">ż dopuścili się takich czynów zabronionych, oraz że nie mają obowiązku wynikającego z orzeczenia sądu, innego uprawnionego organu lub ustawy stosowania się do zakazu zajmowania wszelakich lub określonych stanowisk, wykonywania wszelakich lub określonych za</w:t>
      </w:r>
      <w:r>
        <w:t xml:space="preserve">wodów albo działalności związanych z wychowaniem, edukacją, wypoczynkiem, leczeniem, świadczeniem porad psychologicznych, rozwojem duchowym, uprawianiem sportu lub realizacją innych zainteresowań przez małoletnich, a także wiążących się z opieką nad nimi. 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 w:right="0" w:left="360"/>
        <w:jc w:val="both"/>
        <w:rPr/>
      </w:pPr>
      <w:r>
        <w:t xml:space="preserve">Pod oświadczeniami składanymi pod rygorem odpowiedzialności karnej podpisuje się również oświadczenie o następującej treści: </w:t>
      </w:r>
      <w:r>
        <w:rPr>
          <w:b/>
        </w:rPr>
        <w:t xml:space="preserve">„Jestem świadomy(-a) odpowiedzialności karnej za złożenie fałszywego oświadczenia”.</w:t>
      </w:r>
      <w:r>
        <w:t xml:space="preserve"> Oświadczenie to zastępuje pouczenie organu odpowiedzialności karnej za złożenie fałszywego oświadczenia.</w:t>
      </w:r>
      <w:r/>
    </w:p>
    <w:p>
      <w:pPr>
        <w:pStyle w:val="858"/>
        <w:pBdr/>
        <w:spacing/>
        <w:ind w:right="0" w:left="360"/>
        <w:jc w:val="both"/>
        <w:rPr/>
      </w:pPr>
      <w:r/>
      <w:r/>
    </w:p>
    <w:p>
      <w:pPr>
        <w:pStyle w:val="858"/>
        <w:pBdr/>
        <w:spacing/>
        <w:ind w:right="0" w:left="360"/>
        <w:jc w:val="both"/>
        <w:rPr/>
      </w:pPr>
      <w:r>
        <w:t xml:space="preserve">Oświadczenia i informację z KRK przechowuje się w aktach osobowych pracownika lub w ramach analogicznej dokumentacji dotyczącej osoby zatrudnionej w oparciu o umowę cywilnoprawną.</w:t>
      </w:r>
      <w:r/>
    </w:p>
    <w:p>
      <w:pPr>
        <w:pStyle w:val="858"/>
        <w:pBdr/>
        <w:spacing/>
        <w:ind w:right="0" w:left="360"/>
        <w:jc w:val="both"/>
        <w:rPr/>
      </w:pPr>
      <w:r/>
      <w:r/>
    </w:p>
    <w:p>
      <w:pPr>
        <w:pStyle w:val="858"/>
        <w:pBdr/>
        <w:spacing/>
        <w:ind w:right="0" w:left="360"/>
        <w:rPr/>
      </w:pPr>
      <w:r/>
      <w:r/>
    </w:p>
    <w:p>
      <w:pPr>
        <w:pStyle w:val="858"/>
        <w:pBdr/>
        <w:spacing/>
        <w:ind w:right="0"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Procedury interwencji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8"/>
        <w:pBdr/>
        <w:spacing/>
        <w:ind w:right="0" w:left="360"/>
        <w:jc w:val="center"/>
        <w:rPr>
          <w:b/>
          <w:color w:val="0000ff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 przypadku podejrzenia krzywdzenia dziecka</w:t>
      </w:r>
      <w:r>
        <w:rPr>
          <w:b/>
          <w:color w:val="0000ff"/>
          <w:sz w:val="28"/>
          <w:szCs w:val="28"/>
        </w:rPr>
      </w:r>
      <w:r>
        <w:rPr>
          <w:b/>
          <w:color w:val="0000ff"/>
          <w:sz w:val="28"/>
          <w:szCs w:val="28"/>
        </w:rPr>
      </w:r>
    </w:p>
    <w:p>
      <w:pPr>
        <w:pStyle w:val="858"/>
        <w:pBdr/>
        <w:spacing/>
        <w:ind w:right="0" w:left="36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</w:r>
      <w:r>
        <w:rPr>
          <w:b/>
          <w:color w:val="0000ff"/>
          <w:sz w:val="28"/>
          <w:szCs w:val="28"/>
        </w:rPr>
      </w:r>
      <w:r>
        <w:rPr>
          <w:b/>
          <w:color w:val="0000ff"/>
          <w:sz w:val="28"/>
          <w:szCs w:val="28"/>
        </w:rPr>
      </w:r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Każda osoba będąca członkiem Personelu jest zobowiązana i uprawniona do reagowania w przypadku podejrzenia, że dziecku – pacjentowi dzieje się krzywda. 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Za Personel uznaje się pracowników, współpracowników, niezależnie od podstawy zatrudnienia (w tym osoby świadczące usługi w oparciu o umowy cywilnopraw</w:t>
      </w:r>
      <w:r>
        <w:t xml:space="preserve">ne, wolontariuszy, stażystów, praktykantów), pełnionych stanowisk (lekarze, pielęgniarki, inni pracownicy medyczni, psychologowie, psychoterapeuci, personel administracyjny, pomocniczy) zatrudnionych w Regionalnym Centrum Medycznym w Białogardzie Sp.  o.o.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Niniejsza procedura ma za cel wspierać członków Personelu w realizowaniu prawnego i sp</w:t>
      </w:r>
      <w:r>
        <w:t xml:space="preserve">ołecznego obowiązku reagowania w sytuacji podejrzenia krzywdzenia dziecka. Personel wykonujący zawody medyczne jako osoby odpowiednio przygotowane stawiania diagnoz medycznych pełnią jedną z najważniejszych ról w procesie rozpoznawania krzywdzenia dziecka.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Fakt zidentyfikowania objawów krzywdzenia u dziecka-pacjenta podlega obowiązkowemu odnotowaniu w dokumentacji medycznej.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Naruszenie obowiązku reagowania może zostać uznane za ciężkie naruszenie obowiązków pracowniczych lub kontraktowych i jako takie prowadzić do rozwiązania umowy z osobą dopuszczającą się tego naruszenia. 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Źródłem krzywdy dziecka może być zachowanie osoby będącej członkiem Personelu, zachowanie rodziców lub opiekunów prawnych dziecka, bądź innej osoby bliskiej, a także innych dzieci.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Krzywda dziecka może przybierać różne formy:</w:t>
      </w:r>
      <w:r/>
    </w:p>
    <w:p>
      <w:pPr>
        <w:pStyle w:val="858"/>
        <w:pBdr/>
        <w:spacing/>
        <w:ind w:right="0" w:left="360"/>
        <w:jc w:val="both"/>
        <w:rPr/>
      </w:pPr>
      <w:r/>
      <w:r/>
    </w:p>
    <w:p>
      <w:pPr>
        <w:pStyle w:val="858"/>
        <w:numPr>
          <w:ilvl w:val="0"/>
          <w:numId w:val="9"/>
        </w:numPr>
        <w:pBdr/>
        <w:spacing/>
        <w:ind/>
        <w:jc w:val="both"/>
        <w:rPr/>
      </w:pPr>
      <w:r>
        <w:t xml:space="preserve">popełniono przestępstwo na szkodę dziecka (np. wykorzystanie seksualne, znęcanie się nad dzieckiem); </w:t>
      </w:r>
      <w:r/>
    </w:p>
    <w:p>
      <w:pPr>
        <w:pStyle w:val="858"/>
        <w:numPr>
          <w:ilvl w:val="0"/>
          <w:numId w:val="9"/>
        </w:numPr>
        <w:pBdr/>
        <w:spacing/>
        <w:ind/>
        <w:jc w:val="both"/>
        <w:rPr/>
      </w:pPr>
      <w:r>
        <w:t xml:space="preserve">doszło do innej formy krzywdzenia, nie będącej przestępstwem, takiej jak np. krzyk, kary fizyczne, poniżanie;</w:t>
      </w:r>
      <w:r/>
    </w:p>
    <w:p>
      <w:pPr>
        <w:pStyle w:val="858"/>
        <w:numPr>
          <w:ilvl w:val="0"/>
          <w:numId w:val="9"/>
        </w:numPr>
        <w:pBdr/>
        <w:spacing/>
        <w:ind/>
        <w:jc w:val="both"/>
        <w:rPr/>
      </w:pPr>
      <w:r>
        <w:t xml:space="preserve">doszło do zaniedbania potrzeb życiowych dziecka (np. związanych z żywieniem, higieną czy zdrowiem).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W przypadku podejrzenia, że życie dziecka jest zagrożone lub grozi mu ciężki uszczerbek na zdrow</w:t>
      </w:r>
      <w:r>
        <w:t xml:space="preserve">iu z uwagi stosowanie wobec niego przemocy domowej, a w rodzinie są lub mogą być inne dzieci, należy niezwłocznie poinformować Policję dzwoniąc pod numer 112. Poinformowania służb dokonuje członek Personelu, który pierwszy powziął informację o zagrożeniu. 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W przypadku podejrzenia, że opuszczenie prz</w:t>
      </w:r>
      <w:r>
        <w:t xml:space="preserve">ez dziecko w towarzystwie rodzica lub opiekuna prawnego będzie godziło w dobro dziecka, w tym zagrażało jego bezpieczeństwu, należy uniemożliwić oddalenie się dziecka i niezwłocznie wystąpić do sądu rodzinnego o wydanie odpowiednich zarządzeń opiekuńczych.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Każda osoba podejrzewająca krzywdzenie dziecka raportuje ten fakt Pełnomocnikowi ds. Praw Pacjenta, który zawiadamia dyrektora ds. lecznictwa lub jego zastępcę.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Za prowadzenie interwencji odpowiada członek Personelu, który jako pierwszy zauważył symptomy krzywdzenia dziecka/pacjenta.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W przypadku, gdy do ujawnienia krzywdzenia dziecka doszło pod n</w:t>
      </w:r>
      <w:r>
        <w:t xml:space="preserve">ieobecność Pełnomocnika ds. Praw Pacjenta, a sprawa wymaga pilnego działania, osobą odpowiedzialną za prowadzenie interwencji jest osoba zgłaszająca, która stwierdziła konieczność interwencji. Osoba ta zawiadamia dyrektora ds. lecznictwa lub jego zastępcę.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Interwencja w przypadku podejrzenia popełnienia przestępstwa na szkodę dziecka polega sporządzeniu pisemnego zaw</w:t>
      </w:r>
      <w:r>
        <w:t xml:space="preserve">iadomienia, opisującego najbardziej dokładnie zdarzenia, ze wskazaniem danych pokrzywdzonego (imię, nazwisko, adres, PESEL) i potencjalnego sprawcy (co najmniej imię i nazwisko i inne dane umożliwiające identyfikację, np. relacja do dziecka – ojciec, matka</w:t>
      </w:r>
      <w:r>
        <w:t xml:space="preserve">, miejsce zamieszkania, albo miejsce pracy lub nauki) przesłaniu go do najbliższej jednostki Policji lub prokuratury. W przypadku popełnienia czyny karalnego na szkodę dziecka przez osobę poniżej 17 roku życia także należy sporządzić pisemne zawiadomienie.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W przypadku, gdy dziecko doznaje innej formy krzywdzenia niż popełnienie przestępstwa na jego szkodę: </w:t>
      </w:r>
      <w:r/>
    </w:p>
    <w:p>
      <w:pPr>
        <w:pStyle w:val="858"/>
        <w:pBdr/>
        <w:spacing/>
        <w:ind w:right="0" w:left="360"/>
        <w:jc w:val="both"/>
        <w:rPr/>
      </w:pPr>
      <w:r/>
      <w:r/>
    </w:p>
    <w:p>
      <w:pPr>
        <w:pStyle w:val="858"/>
        <w:pBdr/>
        <w:spacing/>
        <w:ind w:right="0" w:left="360"/>
        <w:jc w:val="both"/>
        <w:rPr/>
      </w:pPr>
      <w:r/>
      <w:r/>
    </w:p>
    <w:p>
      <w:pPr>
        <w:pStyle w:val="858"/>
        <w:pBdr/>
        <w:spacing/>
        <w:ind w:right="0" w:firstLine="708"/>
        <w:jc w:val="both"/>
        <w:rPr/>
      </w:pPr>
      <w:r>
        <w:t xml:space="preserve">Ze strony członka personelu:</w:t>
      </w:r>
      <w:r/>
    </w:p>
    <w:p>
      <w:pPr>
        <w:pStyle w:val="858"/>
        <w:numPr>
          <w:ilvl w:val="0"/>
          <w:numId w:val="4"/>
        </w:numPr>
        <w:pBdr/>
        <w:spacing/>
        <w:ind/>
        <w:jc w:val="both"/>
        <w:rPr/>
      </w:pPr>
      <w:r>
        <w:t xml:space="preserve">W sytuacji, gdy zachowanie było jednorazowe i o niewielkiej intensywności wkroczenia w dobra dziecka należy przeprowadzić rozmowę dyscyplinującą z pracownikiem lub współpracownikiem;</w:t>
      </w:r>
      <w:r/>
    </w:p>
    <w:p>
      <w:pPr>
        <w:pStyle w:val="858"/>
        <w:numPr>
          <w:ilvl w:val="0"/>
          <w:numId w:val="4"/>
        </w:numPr>
        <w:pBdr/>
        <w:spacing/>
        <w:ind/>
        <w:jc w:val="both"/>
        <w:rPr/>
      </w:pPr>
      <w:r>
        <w:t xml:space="preserve">W sytuacji gdy naruszenie dobra dziecka jest znaczne, w szczególności gdy doszło do dyskryminacji lub naruszenia godności dziecka, należy zarekomendować rozwiązanie stosunku prawnego z osobą, która dopuściła się krzywdzenia. Jeżeli członek Persone</w:t>
      </w:r>
      <w:r>
        <w:t xml:space="preserve">lu, który dopuścił się krzywdzenia, nie jest bezpośrednio zatrudniony przez placówkę, lecz przez podmiot trzeci wówczas należy zarekomendować zawieszenie współpracy z tą osobą, a w razie potrzeby rozwiązać umowę z organizacją lub instytucją współpracującą.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 w:right="0" w:firstLine="708"/>
        <w:jc w:val="both"/>
        <w:rPr/>
      </w:pPr>
      <w:r>
        <w:t xml:space="preserve">Ze strony rodziców, opiekunów prawnych lub innych domowników:</w:t>
      </w:r>
      <w:r/>
    </w:p>
    <w:p>
      <w:pPr>
        <w:pStyle w:val="858"/>
        <w:numPr>
          <w:ilvl w:val="0"/>
          <w:numId w:val="2"/>
        </w:numPr>
        <w:pBdr/>
        <w:spacing/>
        <w:ind/>
        <w:jc w:val="both"/>
        <w:rPr/>
      </w:pPr>
      <w:r>
        <w:t xml:space="preserve">Należy wszcząć procedurę Niebieska Karta poprzez wypełnienie formularza Niebieska Karta – A, gdy zachowanie wobec dziecka stanowi przemoc domową;</w:t>
      </w:r>
      <w:r/>
    </w:p>
    <w:p>
      <w:pPr>
        <w:pStyle w:val="858"/>
        <w:numPr>
          <w:ilvl w:val="0"/>
          <w:numId w:val="2"/>
        </w:numPr>
        <w:pBdr/>
        <w:spacing/>
        <w:ind/>
        <w:jc w:val="both"/>
        <w:rPr/>
      </w:pPr>
      <w:r>
        <w:t xml:space="preserve">Gdy zachowanie nie stanowi przemocy domowej lub nie jest jasne, jak je zakwalifikować – należy wystąpić do sądu rodzinnego o wgląd w sytuację rodziny;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 w:right="0" w:left="708"/>
        <w:jc w:val="both"/>
        <w:rPr/>
      </w:pPr>
      <w:r>
        <w:t xml:space="preserve">Ze strony innego dziecka:</w:t>
      </w:r>
      <w:r/>
    </w:p>
    <w:p>
      <w:pPr>
        <w:pStyle w:val="858"/>
        <w:numPr>
          <w:ilvl w:val="0"/>
          <w:numId w:val="1"/>
        </w:numPr>
        <w:pBdr/>
        <w:spacing/>
        <w:ind/>
        <w:jc w:val="both"/>
        <w:rPr/>
      </w:pPr>
      <w:r>
        <w:t xml:space="preserve">Należy wystąpić do sądu rodzinnego właściwego ze względu na zamieszkanie dziecka o wgląd w sytuację dziecka krzywdzącego.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W przypadku, gdy doszło do zaniedbania potrzeb życiowych dziecka lub doszło do  innego zagrożenia dobra dziecka:</w:t>
      </w:r>
      <w:r/>
    </w:p>
    <w:p>
      <w:pPr>
        <w:pStyle w:val="858"/>
        <w:pBdr/>
        <w:spacing/>
        <w:ind w:right="0" w:left="360"/>
        <w:jc w:val="both"/>
        <w:rPr/>
      </w:pPr>
      <w:r/>
      <w:r/>
    </w:p>
    <w:p>
      <w:pPr>
        <w:pStyle w:val="858"/>
        <w:pBdr/>
        <w:spacing/>
        <w:ind w:right="0" w:firstLine="348" w:left="360"/>
        <w:jc w:val="both"/>
        <w:rPr/>
      </w:pPr>
      <w:r>
        <w:t xml:space="preserve">Ze strony członka personelu:</w:t>
      </w:r>
      <w:r/>
    </w:p>
    <w:p>
      <w:pPr>
        <w:pStyle w:val="858"/>
        <w:numPr>
          <w:ilvl w:val="0"/>
          <w:numId w:val="1"/>
        </w:numPr>
        <w:pBdr/>
        <w:spacing/>
        <w:ind/>
        <w:jc w:val="both"/>
        <w:rPr/>
      </w:pPr>
      <w:r>
        <w:t xml:space="preserve">Należy przeprowadzić rozmowę dyscyplinującą a w razie potrzeby zastosować konsekwencje dyscyplinarne, łącznie z rozwiązaniem stosunku prawnego z tą osobą;</w:t>
      </w:r>
      <w:r/>
    </w:p>
    <w:p>
      <w:pPr>
        <w:pStyle w:val="858"/>
        <w:pBdr/>
        <w:spacing/>
        <w:ind w:right="0" w:left="1068"/>
        <w:jc w:val="both"/>
        <w:rPr/>
      </w:pPr>
      <w:r/>
      <w:r/>
    </w:p>
    <w:p>
      <w:pPr>
        <w:pStyle w:val="858"/>
        <w:pBdr/>
        <w:spacing/>
        <w:ind w:right="0" w:firstLine="708"/>
        <w:jc w:val="both"/>
        <w:rPr/>
      </w:pPr>
      <w:r>
        <w:t xml:space="preserve">Ze strony rodziców lub opiekunów prawnych:</w:t>
      </w:r>
      <w:r/>
    </w:p>
    <w:p>
      <w:pPr>
        <w:pStyle w:val="858"/>
        <w:numPr>
          <w:ilvl w:val="0"/>
          <w:numId w:val="1"/>
        </w:numPr>
        <w:pBdr/>
        <w:spacing/>
        <w:ind/>
        <w:jc w:val="both"/>
        <w:rPr/>
      </w:pPr>
      <w:r>
        <w:t xml:space="preserve">Należy wystąpić do sądu rodzinnego właściwego ze względu na miejsce zamieszkania dziecka o wgląd w sytuację dziecka;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W przypadkach nieja</w:t>
      </w:r>
      <w:r>
        <w:t xml:space="preserve">snych lub wątpliwych osoba odpowiedzialna za interwencję konsultuje sprawę z co najmniej dwiema osobami z Personelu. Osoba odpowiedzialna za interwencje może rozmawiać z osobami zaangażowanymi, w tym dzieckiem, osobą podejrzewaną o krzywdzenie i świadkami.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W przypadku, gdy nie jest jasne, jakiej krzywdy dziecko doświadcza ze strony rodzica lub opiekuna prawnego należy wszcząć procedurę Niebieska Karta.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W przypadku podejrzenia krzywdzenia dziecka ze strony członka personelu należy niezwłocznie odsunąć tę osobę od wszelkich form kontaktu z dziećmi, aż do czasu wyjaśnienia sprawy. 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W przypadku wszc</w:t>
      </w:r>
      <w:r>
        <w:t xml:space="preserve">zęcia postępowania karnego przeciwko członkowi personelu w związku z popełnieniem przestępstwa przeciwko dzieciom należy bezwzględnie i natychmiastowo odsunąć tę osobę od wszelkich form kontaktu z dziećmi aż do czasu prawomocnego zakończenia postępowania. 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Podejrzenie krzywdzenia dziecka, niezależnie od osoby odpowiedzialnej za krzywdzenie, jest zdarzeniem niepożądanym i jako takie podlega raportowaniu do    przewodniczącego Zespołu ds. zdarzeń niepożądanych w Reg</w:t>
      </w:r>
      <w:r>
        <w:t xml:space="preserve">ionalnym Centrum Medycznym w Białogardzie Sp. z o.o. Przewodniczący prowadzi rejestr zgłoszeń dotyczących krzywdzenia dziecka, zawierający co najmniej liczbę poszczególnych przypadków krzywdzenia, ze wskazaniem jednostki zgłaszającej, osoby odpowiedzialnej</w:t>
      </w:r>
      <w:r>
        <w:t xml:space="preserve"> za krzywdzenie (rodzic/opiekun prawny, członek Personelu, inne dziecko) oraz rodzaju podjętej interwencji (zawiadomienie o możliwości popełnienia przestępstwa, wniosek o wgląd w sytuację rodziny, wszczęcie procedury Niebieska Karta) oraz daty interwencji.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W przypadku, gdy krzywdzenia dziecka dopuściła się osoba odpowiedzialna za interwencję wówczas osoba, która dostrzegła krzywdzenie przekazuje informacje o tym fakcie bezpośrednio do Pełnomocnika ds. Praw Pacjenta (bezpośrednio lub na adres mailowy: </w:t>
      </w:r>
      <w:r>
        <w:rPr>
          <w:highlight w:val="none"/>
        </w:rPr>
        <w:t xml:space="preserve">lucjanlukomski@gmail.com</w:t>
      </w:r>
      <w:r>
        <w:t xml:space="preserve">.)</w:t>
      </w:r>
      <w:r/>
    </w:p>
    <w:p>
      <w:pPr>
        <w:pStyle w:val="858"/>
        <w:numPr>
          <w:ilvl w:val="0"/>
          <w:numId w:val="5"/>
        </w:numPr>
        <w:pBdr/>
        <w:spacing/>
        <w:ind/>
        <w:jc w:val="both"/>
        <w:rPr/>
      </w:pPr>
      <w:r>
        <w:t xml:space="preserve">Dalszy tok postępowania leży w gestii uprawnionych organów (sąd, Policja, prokuratura, OPS).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center"/>
        <w:rPr>
          <w:b/>
          <w:color w:val="0000ff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Podstawy prawne Polityki ochrony dzieci</w:t>
      </w:r>
      <w:r>
        <w:rPr>
          <w:b/>
          <w:color w:val="0000ff"/>
          <w:sz w:val="28"/>
          <w:szCs w:val="28"/>
        </w:rPr>
      </w:r>
      <w:r>
        <w:rPr>
          <w:b/>
          <w:color w:val="0000ff"/>
          <w:sz w:val="28"/>
          <w:szCs w:val="28"/>
        </w:rPr>
      </w:r>
    </w:p>
    <w:p>
      <w:pPr>
        <w:pStyle w:val="858"/>
        <w:pBdr/>
        <w:spacing/>
        <w:ind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</w:r>
      <w:r>
        <w:rPr>
          <w:b/>
          <w:color w:val="0000ff"/>
          <w:sz w:val="28"/>
          <w:szCs w:val="28"/>
        </w:rPr>
      </w:r>
      <w:r>
        <w:rPr>
          <w:b/>
          <w:color w:val="0000ff"/>
          <w:sz w:val="28"/>
          <w:szCs w:val="28"/>
        </w:rPr>
      </w:r>
    </w:p>
    <w:p>
      <w:pPr>
        <w:pStyle w:val="858"/>
        <w:numPr>
          <w:ilvl w:val="0"/>
          <w:numId w:val="11"/>
        </w:numPr>
        <w:pBdr/>
        <w:spacing/>
        <w:ind/>
        <w:jc w:val="both"/>
        <w:rPr/>
      </w:pPr>
      <w:r>
        <w:t xml:space="preserve">Konwencja o prawach dziecka przyjęta przez Zgromadzenie Ogólne Narodów Zjednoczonych dnia 20 listopada 1989 r. (Dz. U. z 1991 r. Nr 120, poz. 526 z późn. zm.).</w:t>
      </w:r>
      <w:r/>
    </w:p>
    <w:p>
      <w:pPr>
        <w:pStyle w:val="858"/>
        <w:numPr>
          <w:ilvl w:val="0"/>
          <w:numId w:val="11"/>
        </w:numPr>
        <w:pBdr/>
        <w:spacing/>
        <w:ind/>
        <w:jc w:val="both"/>
        <w:rPr/>
      </w:pPr>
      <w:r>
        <w:t xml:space="preserve">Konstytucja Rzeczypospolitej Polskiej z dnia 2 kwietnia 1997 r. (Dz. U. Nr 78, poz. 483 z późn. zm.)</w:t>
      </w:r>
      <w:r/>
    </w:p>
    <w:p>
      <w:pPr>
        <w:pStyle w:val="858"/>
        <w:numPr>
          <w:ilvl w:val="0"/>
          <w:numId w:val="11"/>
        </w:numPr>
        <w:pBdr/>
        <w:spacing/>
        <w:ind/>
        <w:jc w:val="both"/>
        <w:rPr/>
      </w:pPr>
      <w:r>
        <w:t xml:space="preserve">Ustawa z dnia 6 listopada 2008 r. o prawach pacjenta i Rzecznik Praw Pacjenta (t.j. Dz. U. z 2023 r. poz. 1545).</w:t>
      </w:r>
      <w:r/>
    </w:p>
    <w:p>
      <w:pPr>
        <w:pStyle w:val="858"/>
        <w:numPr>
          <w:ilvl w:val="0"/>
          <w:numId w:val="11"/>
        </w:numPr>
        <w:pBdr/>
        <w:spacing/>
        <w:ind/>
        <w:jc w:val="both"/>
        <w:rPr/>
      </w:pPr>
      <w:r>
        <w:t xml:space="preserve">Ustawa z dnia 6 stycznia 2000 r. o Rzeczniku Praw Dziecka (t.j. Dz. U. z 2023 r. poz. 292).</w:t>
      </w:r>
      <w:r/>
    </w:p>
    <w:p>
      <w:pPr>
        <w:pStyle w:val="858"/>
        <w:numPr>
          <w:ilvl w:val="0"/>
          <w:numId w:val="11"/>
        </w:numPr>
        <w:pBdr/>
        <w:spacing/>
        <w:ind/>
        <w:jc w:val="both"/>
        <w:rPr/>
      </w:pPr>
      <w:r>
        <w:t xml:space="preserve">Ustawa z dnia 15 kwietnia 2011 r. o działalności leczniczej (t.j. Dz. U. z 2022 r. poz. 633 z późn. zm.).</w:t>
      </w:r>
      <w:r/>
    </w:p>
    <w:p>
      <w:pPr>
        <w:pStyle w:val="858"/>
        <w:numPr>
          <w:ilvl w:val="0"/>
          <w:numId w:val="11"/>
        </w:numPr>
        <w:pBdr/>
        <w:spacing/>
        <w:ind/>
        <w:jc w:val="both"/>
        <w:rPr/>
      </w:pPr>
      <w:r>
        <w:t xml:space="preserve">Ustawa z dnia 5 grudnia 1996 r. o zawodach lekarza i lekarza dentysty (t.j. Dz. U. z 2022 r. poz. 1731 z późn. zm.).</w:t>
      </w:r>
      <w:r/>
    </w:p>
    <w:p>
      <w:pPr>
        <w:pStyle w:val="858"/>
        <w:numPr>
          <w:ilvl w:val="0"/>
          <w:numId w:val="11"/>
        </w:numPr>
        <w:pBdr/>
        <w:spacing/>
        <w:ind/>
        <w:jc w:val="both"/>
        <w:rPr/>
      </w:pPr>
      <w:r>
        <w:t xml:space="preserve">Ustawa z dnia 15 lipca 2011 r. o zawodach pielęgniarki i położnej (t.j. Dz. U. z 2022 r. poz. 2702 z późn. zm.).</w:t>
      </w:r>
      <w:r/>
    </w:p>
    <w:p>
      <w:pPr>
        <w:pStyle w:val="858"/>
        <w:numPr>
          <w:ilvl w:val="0"/>
          <w:numId w:val="11"/>
        </w:numPr>
        <w:pBdr/>
        <w:spacing/>
        <w:ind/>
        <w:jc w:val="both"/>
        <w:rPr/>
      </w:pPr>
      <w:r>
        <w:t xml:space="preserve">Ustawa z dnia 8 czerwca 2001 r. o zawodzie psychologa i samorządzie zawodowym.</w:t>
      </w:r>
      <w:r/>
    </w:p>
    <w:p>
      <w:pPr>
        <w:pStyle w:val="858"/>
        <w:numPr>
          <w:ilvl w:val="0"/>
          <w:numId w:val="11"/>
        </w:numPr>
        <w:pBdr/>
        <w:spacing/>
        <w:ind/>
        <w:jc w:val="both"/>
        <w:rPr/>
      </w:pPr>
      <w:r>
        <w:t xml:space="preserve">Ustawa z dnia 19 sierpnia 1994 r. o ochronie zdrowia psychicznego (t.j. Dz. U. z 2022 r. poz. 2123).</w:t>
      </w:r>
      <w:r/>
    </w:p>
    <w:p>
      <w:pPr>
        <w:pStyle w:val="858"/>
        <w:numPr>
          <w:ilvl w:val="0"/>
          <w:numId w:val="11"/>
        </w:numPr>
        <w:pBdr/>
        <w:spacing/>
        <w:ind/>
        <w:jc w:val="both"/>
        <w:rPr/>
      </w:pPr>
      <w:r>
        <w:t xml:space="preserve">Ustawa z dnia 29 lipca 2005 r. o przeciwdziałaniu przemocy domowej (t.j. Dz. U. z 2021 r. poz. 1249).</w:t>
      </w:r>
      <w:r/>
    </w:p>
    <w:p>
      <w:pPr>
        <w:pStyle w:val="858"/>
        <w:numPr>
          <w:ilvl w:val="0"/>
          <w:numId w:val="11"/>
        </w:numPr>
        <w:pBdr/>
        <w:spacing/>
        <w:ind/>
        <w:jc w:val="both"/>
        <w:rPr/>
      </w:pPr>
      <w:r>
        <w:t xml:space="preserve">Ustawa z dnia 13 maja 2016 r. o przeciwdziałaniu zagrożeniom przestępczością na tle seksualnym (t.j. Dz. U. z 2023 r. poz. 31 z późn. zm.).</w:t>
      </w:r>
      <w:r/>
    </w:p>
    <w:p>
      <w:pPr>
        <w:pStyle w:val="858"/>
        <w:numPr>
          <w:ilvl w:val="0"/>
          <w:numId w:val="11"/>
        </w:numPr>
        <w:pBdr/>
        <w:spacing/>
        <w:ind/>
        <w:jc w:val="both"/>
        <w:rPr/>
      </w:pPr>
      <w:r>
        <w:t xml:space="preserve">Ustawa z dnia 6 czerwca 1997 r. Kodeks karny (t.j. Dz. U. z 2022 r. poz. 1138 z późn. zm.).</w:t>
      </w:r>
      <w:r/>
    </w:p>
    <w:p>
      <w:pPr>
        <w:pStyle w:val="858"/>
        <w:numPr>
          <w:ilvl w:val="0"/>
          <w:numId w:val="11"/>
        </w:numPr>
        <w:pBdr/>
        <w:spacing/>
        <w:ind/>
        <w:jc w:val="both"/>
        <w:rPr/>
      </w:pPr>
      <w:r>
        <w:t xml:space="preserve">Ustawa z dnia 6 czerwca 1997 r. Kodeks postępowania karnego (t.j. Dz. U. z 2022 r. poz. 1375 z późn. zm.).</w:t>
      </w:r>
      <w:r/>
    </w:p>
    <w:p>
      <w:pPr>
        <w:pStyle w:val="858"/>
        <w:numPr>
          <w:ilvl w:val="0"/>
          <w:numId w:val="11"/>
        </w:numPr>
        <w:pBdr/>
        <w:spacing/>
        <w:ind/>
        <w:jc w:val="both"/>
        <w:rPr/>
      </w:pPr>
      <w:r>
        <w:t xml:space="preserve">Ustawa z dnia 9 czerwca 2011 r. o wspieraniu rodziny i systemie pieczy zastępczej (t.j. Dz. U. z 2022 r. poz. 447 z późn. zm.).</w:t>
      </w:r>
      <w:r/>
    </w:p>
    <w:p>
      <w:pPr>
        <w:pStyle w:val="858"/>
        <w:numPr>
          <w:ilvl w:val="0"/>
          <w:numId w:val="11"/>
        </w:numPr>
        <w:pBdr/>
        <w:spacing/>
        <w:ind/>
        <w:jc w:val="both"/>
        <w:rPr/>
      </w:pPr>
      <w:r>
        <w:t xml:space="preserve">Ustawa z dnia 28 lipca 2023 r. o zmianie ustawy - Kodeks rodzinny i opiekuńczy oraz niektórych innych ustaw (Dz. U. poz. 1606).</w:t>
      </w:r>
      <w:r/>
    </w:p>
    <w:p>
      <w:pPr>
        <w:pStyle w:val="858"/>
        <w:numPr>
          <w:ilvl w:val="0"/>
          <w:numId w:val="11"/>
        </w:numPr>
        <w:pBdr/>
        <w:spacing/>
        <w:ind/>
        <w:jc w:val="both"/>
        <w:rPr/>
      </w:pPr>
      <w:r>
        <w:t xml:space="preserve">Ustawa z dnia 25 lutego 1964 r. Kodeks rodzinny i opiekuńczy (t.j. Dz. U. z 2020 r. poz. 1359 z późn. zm.).</w:t>
      </w:r>
      <w:r/>
    </w:p>
    <w:p>
      <w:pPr>
        <w:pStyle w:val="858"/>
        <w:numPr>
          <w:ilvl w:val="0"/>
          <w:numId w:val="11"/>
        </w:numPr>
        <w:pBdr/>
        <w:spacing/>
        <w:ind/>
        <w:jc w:val="both"/>
        <w:rPr/>
      </w:pPr>
      <w:r>
        <w:t xml:space="preserve">Ustawa z dnia 17 listopada 1964 r. Kodeks postępowania cywilnego (t.j. Dz. U. z 2023 r. poz. 1550 z późn. zm.).</w:t>
      </w:r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 w:right="0" w:left="1416"/>
        <w:jc w:val="both"/>
        <w:rPr/>
      </w:pPr>
      <w:r/>
      <w:r/>
    </w:p>
    <w:p>
      <w:pPr>
        <w:pStyle w:val="858"/>
        <w:pBdr/>
        <w:spacing/>
        <w:ind w:right="0" w:left="1428"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 w:right="0" w:left="1428"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/>
      </w:pPr>
      <w:r/>
      <w:r/>
    </w:p>
    <w:p>
      <w:pPr>
        <w:pStyle w:val="858"/>
        <w:pBdr/>
        <w:spacing/>
        <w:ind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Regionalnym Centrum Medycznym w Białogardzie wdrożona jest Procedura P-7-00 „Standardy ochrony małoletnich” wraz z niezbędnymi załącznikami.</w: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1417" w:right="1417" w:bottom="1417" w:left="1417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Microsoft YaHei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1428"/>
        </w:tabs>
        <w:spacing/>
        <w:ind w:hanging="360" w:left="1428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1428"/>
        </w:tabs>
        <w:spacing/>
        <w:ind w:hanging="360" w:left="1428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1428"/>
        </w:tabs>
        <w:spacing/>
        <w:ind w:hanging="360" w:left="1428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pBdr/>
      <w:spacing/>
      <w:ind w:left="720"/>
      <w:contextualSpacing w:val="true"/>
    </w:pPr>
  </w:style>
  <w:style w:type="paragraph" w:styleId="699">
    <w:name w:val="No Spacing"/>
    <w:uiPriority w:val="1"/>
    <w:qFormat/>
    <w:pPr>
      <w:pBdr/>
      <w:spacing w:after="0" w:before="0" w:line="240" w:lineRule="auto"/>
      <w:ind/>
    </w:pPr>
  </w:style>
  <w:style w:type="paragraph" w:styleId="700">
    <w:name w:val="Title"/>
    <w:basedOn w:val="858"/>
    <w:next w:val="858"/>
    <w:link w:val="70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01">
    <w:name w:val="Title Char"/>
    <w:link w:val="700"/>
    <w:uiPriority w:val="10"/>
    <w:pPr>
      <w:pBdr/>
      <w:spacing/>
      <w:ind/>
    </w:pPr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3">
    <w:name w:val="Subtitle Char"/>
    <w:link w:val="702"/>
    <w:uiPriority w:val="11"/>
    <w:pPr>
      <w:pBdr/>
      <w:spacing/>
      <w:ind/>
    </w:pPr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pBdr/>
      <w:spacing/>
      <w:ind w:right="720" w:left="720"/>
    </w:pPr>
    <w:rPr>
      <w:i/>
    </w:rPr>
  </w:style>
  <w:style w:type="character" w:styleId="705">
    <w:name w:val="Quote Char"/>
    <w:link w:val="704"/>
    <w:uiPriority w:val="29"/>
    <w:pPr>
      <w:pBdr/>
      <w:spacing/>
      <w:ind/>
    </w:pPr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7">
    <w:name w:val="Intense Quote Char"/>
    <w:link w:val="706"/>
    <w:uiPriority w:val="30"/>
    <w:pPr>
      <w:pBdr/>
      <w:spacing/>
      <w:ind/>
    </w:pPr>
    <w:rPr>
      <w:i/>
    </w:rPr>
  </w:style>
  <w:style w:type="paragraph" w:styleId="708">
    <w:name w:val="Header"/>
    <w:basedOn w:val="858"/>
    <w:link w:val="70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9">
    <w:name w:val="Header Char"/>
    <w:link w:val="708"/>
    <w:uiPriority w:val="99"/>
    <w:pPr>
      <w:pBdr/>
      <w:spacing/>
      <w:ind/>
    </w:pPr>
  </w:style>
  <w:style w:type="paragraph" w:styleId="710">
    <w:name w:val="Footer"/>
    <w:basedOn w:val="858"/>
    <w:link w:val="71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1">
    <w:name w:val="Footer Char"/>
    <w:link w:val="710"/>
    <w:uiPriority w:val="99"/>
    <w:pPr>
      <w:pBdr/>
      <w:spacing/>
      <w:ind/>
    </w:pPr>
  </w:style>
  <w:style w:type="character" w:styleId="712">
    <w:name w:val="Caption Char"/>
    <w:basedOn w:val="916"/>
    <w:link w:val="710"/>
    <w:uiPriority w:val="99"/>
    <w:pPr>
      <w:pBdr/>
      <w:spacing/>
      <w:ind/>
    </w:pPr>
  </w:style>
  <w:style w:type="table" w:styleId="713">
    <w:name w:val="Table Grid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Table Grid Light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1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2"/>
    <w:basedOn w:val="8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1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2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3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4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5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6"/>
    <w:basedOn w:val="8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1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2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3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4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5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6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1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2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3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4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5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6"/>
    <w:basedOn w:val="8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1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2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3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4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5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6"/>
    <w:basedOn w:val="8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9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40">
    <w:name w:val="footnote text"/>
    <w:basedOn w:val="858"/>
    <w:link w:val="84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1">
    <w:name w:val="Footnote Text Char"/>
    <w:link w:val="840"/>
    <w:uiPriority w:val="99"/>
    <w:pPr>
      <w:pBdr/>
      <w:spacing/>
      <w:ind/>
    </w:pPr>
    <w:rPr>
      <w:sz w:val="18"/>
    </w:rPr>
  </w:style>
  <w:style w:type="character" w:styleId="84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43">
    <w:name w:val="endnote text"/>
    <w:basedOn w:val="858"/>
    <w:link w:val="84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4">
    <w:name w:val="Endnote Text Char"/>
    <w:link w:val="843"/>
    <w:uiPriority w:val="99"/>
    <w:pPr>
      <w:pBdr/>
      <w:spacing/>
      <w:ind/>
    </w:pPr>
    <w:rPr>
      <w:sz w:val="20"/>
    </w:rPr>
  </w:style>
  <w:style w:type="character" w:styleId="8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46">
    <w:name w:val="toc 1"/>
    <w:basedOn w:val="858"/>
    <w:next w:val="858"/>
    <w:uiPriority w:val="39"/>
    <w:unhideWhenUsed/>
    <w:pPr>
      <w:pBdr/>
      <w:spacing w:after="57"/>
      <w:ind w:right="0" w:firstLine="0" w:left="0"/>
    </w:pPr>
  </w:style>
  <w:style w:type="paragraph" w:styleId="847">
    <w:name w:val="toc 2"/>
    <w:basedOn w:val="858"/>
    <w:next w:val="858"/>
    <w:uiPriority w:val="39"/>
    <w:unhideWhenUsed/>
    <w:pPr>
      <w:pBdr/>
      <w:spacing w:after="57"/>
      <w:ind w:right="0" w:firstLine="0" w:left="283"/>
    </w:pPr>
  </w:style>
  <w:style w:type="paragraph" w:styleId="848">
    <w:name w:val="toc 3"/>
    <w:basedOn w:val="858"/>
    <w:next w:val="858"/>
    <w:uiPriority w:val="39"/>
    <w:unhideWhenUsed/>
    <w:pPr>
      <w:pBdr/>
      <w:spacing w:after="57"/>
      <w:ind w:right="0" w:firstLine="0" w:left="567"/>
    </w:pPr>
  </w:style>
  <w:style w:type="paragraph" w:styleId="849">
    <w:name w:val="toc 4"/>
    <w:basedOn w:val="858"/>
    <w:next w:val="858"/>
    <w:uiPriority w:val="39"/>
    <w:unhideWhenUsed/>
    <w:pPr>
      <w:pBdr/>
      <w:spacing w:after="57"/>
      <w:ind w:right="0" w:firstLine="0" w:left="850"/>
    </w:pPr>
  </w:style>
  <w:style w:type="paragraph" w:styleId="850">
    <w:name w:val="toc 5"/>
    <w:basedOn w:val="858"/>
    <w:next w:val="858"/>
    <w:uiPriority w:val="39"/>
    <w:unhideWhenUsed/>
    <w:pPr>
      <w:pBdr/>
      <w:spacing w:after="57"/>
      <w:ind w:right="0" w:firstLine="0" w:left="1134"/>
    </w:pPr>
  </w:style>
  <w:style w:type="paragraph" w:styleId="851">
    <w:name w:val="toc 6"/>
    <w:basedOn w:val="858"/>
    <w:next w:val="858"/>
    <w:uiPriority w:val="39"/>
    <w:unhideWhenUsed/>
    <w:pPr>
      <w:pBdr/>
      <w:spacing w:after="57"/>
      <w:ind w:right="0" w:firstLine="0" w:left="1417"/>
    </w:pPr>
  </w:style>
  <w:style w:type="paragraph" w:styleId="852">
    <w:name w:val="toc 7"/>
    <w:basedOn w:val="858"/>
    <w:next w:val="858"/>
    <w:uiPriority w:val="39"/>
    <w:unhideWhenUsed/>
    <w:pPr>
      <w:pBdr/>
      <w:spacing w:after="57"/>
      <w:ind w:right="0" w:firstLine="0" w:left="1701"/>
    </w:pPr>
  </w:style>
  <w:style w:type="paragraph" w:styleId="853">
    <w:name w:val="toc 8"/>
    <w:basedOn w:val="858"/>
    <w:next w:val="858"/>
    <w:uiPriority w:val="39"/>
    <w:unhideWhenUsed/>
    <w:pPr>
      <w:pBdr/>
      <w:spacing w:after="57"/>
      <w:ind w:right="0" w:firstLine="0" w:left="1984"/>
    </w:pPr>
  </w:style>
  <w:style w:type="paragraph" w:styleId="854">
    <w:name w:val="toc 9"/>
    <w:basedOn w:val="858"/>
    <w:next w:val="858"/>
    <w:uiPriority w:val="39"/>
    <w:unhideWhenUsed/>
    <w:pPr>
      <w:pBdr/>
      <w:spacing w:after="57"/>
      <w:ind w:right="0" w:firstLine="0" w:left="2268"/>
    </w:pPr>
  </w:style>
  <w:style w:type="paragraph" w:styleId="855">
    <w:name w:val="TOC Heading"/>
    <w:uiPriority w:val="39"/>
    <w:unhideWhenUsed/>
    <w:pPr>
      <w:pBdr/>
      <w:spacing/>
      <w:ind/>
    </w:pPr>
  </w:style>
  <w:style w:type="paragraph" w:styleId="856">
    <w:name w:val="table of figures"/>
    <w:basedOn w:val="858"/>
    <w:next w:val="858"/>
    <w:uiPriority w:val="99"/>
    <w:unhideWhenUsed/>
    <w:pPr>
      <w:pBdr/>
      <w:spacing w:after="0" w:afterAutospacing="0"/>
      <w:ind/>
    </w:pPr>
  </w:style>
  <w:style w:type="table" w:styleId="85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8" w:default="1">
    <w:name w:val="Normal"/>
    <w:next w:val="858"/>
    <w:link w:val="858"/>
    <w:pPr>
      <w:widowControl w:val="true"/>
      <w:pBdr/>
      <w:spacing/>
      <w:ind/>
    </w:pPr>
    <w:rPr>
      <w:rFonts w:ascii="Times New Roman" w:hAnsi="Times New Roman" w:eastAsia="Times New Roman" w:cs="Times New Roman"/>
      <w:color w:val="auto"/>
      <w:sz w:val="24"/>
      <w:szCs w:val="24"/>
      <w:lang w:val="pl-PL" w:eastAsia="zh-CN" w:bidi="ar-SA"/>
    </w:rPr>
  </w:style>
  <w:style w:type="character" w:styleId="859">
    <w:name w:val="WW8Num1z0"/>
    <w:next w:val="859"/>
    <w:link w:val="858"/>
    <w:pPr>
      <w:pBdr/>
      <w:spacing/>
      <w:ind/>
    </w:pPr>
    <w:rPr>
      <w:rFonts w:ascii="Times New Roman" w:hAnsi="Times New Roman" w:eastAsia="Times New Roman" w:cs="Times New Roman"/>
    </w:rPr>
  </w:style>
  <w:style w:type="character" w:styleId="860">
    <w:name w:val="WW8Num2z0"/>
    <w:next w:val="860"/>
    <w:link w:val="858"/>
    <w:pPr>
      <w:pBdr/>
      <w:spacing/>
      <w:ind/>
    </w:pPr>
    <w:rPr>
      <w:rFonts w:ascii="Symbol" w:hAnsi="Symbol" w:cs="Symbol"/>
    </w:rPr>
  </w:style>
  <w:style w:type="character" w:styleId="861">
    <w:name w:val="WW8Num2z1"/>
    <w:next w:val="861"/>
    <w:link w:val="858"/>
    <w:pPr>
      <w:pBdr/>
      <w:spacing/>
      <w:ind/>
    </w:pPr>
  </w:style>
  <w:style w:type="character" w:styleId="862">
    <w:name w:val="WW8Num2z2"/>
    <w:next w:val="862"/>
    <w:link w:val="858"/>
    <w:pPr>
      <w:pBdr/>
      <w:spacing/>
      <w:ind/>
    </w:pPr>
    <w:rPr>
      <w:rFonts w:ascii="Wingdings" w:hAnsi="Wingdings" w:cs="Wingdings"/>
    </w:rPr>
  </w:style>
  <w:style w:type="character" w:styleId="863">
    <w:name w:val="WW8Num2z4"/>
    <w:next w:val="863"/>
    <w:link w:val="858"/>
    <w:pPr>
      <w:pBdr/>
      <w:spacing/>
      <w:ind/>
    </w:pPr>
    <w:rPr>
      <w:rFonts w:ascii="Courier New" w:hAnsi="Courier New" w:cs="Courier New"/>
    </w:rPr>
  </w:style>
  <w:style w:type="character" w:styleId="864">
    <w:name w:val="WW8Num3z0"/>
    <w:next w:val="864"/>
    <w:link w:val="858"/>
    <w:pPr>
      <w:pBdr/>
      <w:spacing/>
      <w:ind/>
    </w:pPr>
    <w:rPr>
      <w:rFonts w:ascii="Symbol" w:hAnsi="Symbol" w:cs="Symbol"/>
    </w:rPr>
  </w:style>
  <w:style w:type="character" w:styleId="865">
    <w:name w:val="WW8Num3z1"/>
    <w:next w:val="865"/>
    <w:link w:val="858"/>
    <w:pPr>
      <w:pBdr/>
      <w:spacing/>
      <w:ind/>
    </w:pPr>
    <w:rPr>
      <w:rFonts w:ascii="Courier New" w:hAnsi="Courier New" w:cs="Courier New"/>
    </w:rPr>
  </w:style>
  <w:style w:type="character" w:styleId="866">
    <w:name w:val="WW8Num3z2"/>
    <w:next w:val="866"/>
    <w:link w:val="858"/>
    <w:pPr>
      <w:pBdr/>
      <w:spacing/>
      <w:ind/>
    </w:pPr>
    <w:rPr>
      <w:rFonts w:ascii="Wingdings" w:hAnsi="Wingdings" w:cs="Wingdings"/>
    </w:rPr>
  </w:style>
  <w:style w:type="character" w:styleId="867">
    <w:name w:val="WW8Num4z0"/>
    <w:next w:val="867"/>
    <w:link w:val="858"/>
    <w:pPr>
      <w:pBdr/>
      <w:spacing/>
      <w:ind/>
    </w:pPr>
    <w:rPr>
      <w:rFonts w:ascii="Times New Roman" w:hAnsi="Times New Roman" w:eastAsia="Times New Roman" w:cs="Times New Roman"/>
    </w:rPr>
  </w:style>
  <w:style w:type="character" w:styleId="868">
    <w:name w:val="WW8Num5z0"/>
    <w:next w:val="868"/>
    <w:link w:val="858"/>
    <w:pPr>
      <w:pBdr/>
      <w:spacing/>
      <w:ind/>
    </w:pPr>
    <w:rPr>
      <w:rFonts w:ascii="Symbol" w:hAnsi="Symbol" w:cs="Symbol"/>
    </w:rPr>
  </w:style>
  <w:style w:type="character" w:styleId="869">
    <w:name w:val="WW8Num6z0"/>
    <w:next w:val="869"/>
    <w:link w:val="858"/>
    <w:pPr>
      <w:pBdr/>
      <w:spacing/>
      <w:ind/>
    </w:pPr>
    <w:rPr>
      <w:rFonts w:ascii="Symbol" w:hAnsi="Symbol" w:cs="Symbol"/>
    </w:rPr>
  </w:style>
  <w:style w:type="character" w:styleId="870">
    <w:name w:val="WW8Num6z1"/>
    <w:next w:val="870"/>
    <w:link w:val="858"/>
    <w:pPr>
      <w:pBdr/>
      <w:spacing/>
      <w:ind/>
    </w:pPr>
  </w:style>
  <w:style w:type="character" w:styleId="871">
    <w:name w:val="WW8Num6z2"/>
    <w:next w:val="871"/>
    <w:link w:val="858"/>
    <w:pPr>
      <w:pBdr/>
      <w:spacing/>
      <w:ind/>
    </w:pPr>
    <w:rPr>
      <w:rFonts w:ascii="Wingdings" w:hAnsi="Wingdings" w:cs="Wingdings"/>
    </w:rPr>
  </w:style>
  <w:style w:type="character" w:styleId="872">
    <w:name w:val="WW8Num6z4"/>
    <w:next w:val="872"/>
    <w:link w:val="858"/>
    <w:pPr>
      <w:pBdr/>
      <w:spacing/>
      <w:ind/>
    </w:pPr>
    <w:rPr>
      <w:rFonts w:ascii="Courier New" w:hAnsi="Courier New" w:cs="Courier New"/>
    </w:rPr>
  </w:style>
  <w:style w:type="character" w:styleId="873">
    <w:name w:val="WW8Num7z0"/>
    <w:next w:val="873"/>
    <w:link w:val="858"/>
    <w:pPr>
      <w:pBdr/>
      <w:spacing/>
      <w:ind/>
    </w:pPr>
    <w:rPr>
      <w:rFonts w:ascii="Symbol" w:hAnsi="Symbol" w:cs="Symbol"/>
    </w:rPr>
  </w:style>
  <w:style w:type="character" w:styleId="874">
    <w:name w:val="WW8Num7z1"/>
    <w:next w:val="874"/>
    <w:link w:val="858"/>
    <w:pPr>
      <w:pBdr/>
      <w:spacing/>
      <w:ind/>
    </w:pPr>
    <w:rPr>
      <w:rFonts w:ascii="Courier New" w:hAnsi="Courier New" w:cs="Courier New"/>
    </w:rPr>
  </w:style>
  <w:style w:type="character" w:styleId="875">
    <w:name w:val="WW8Num7z2"/>
    <w:next w:val="875"/>
    <w:link w:val="858"/>
    <w:pPr>
      <w:pBdr/>
      <w:spacing/>
      <w:ind/>
    </w:pPr>
    <w:rPr>
      <w:rFonts w:ascii="Wingdings" w:hAnsi="Wingdings" w:cs="Wingdings"/>
    </w:rPr>
  </w:style>
  <w:style w:type="character" w:styleId="876">
    <w:name w:val="WW8Num8z0"/>
    <w:next w:val="876"/>
    <w:link w:val="858"/>
    <w:pPr>
      <w:pBdr/>
      <w:spacing/>
      <w:ind/>
    </w:pPr>
    <w:rPr>
      <w:rFonts w:ascii="Symbol" w:hAnsi="Symbol" w:cs="Symbol"/>
    </w:rPr>
  </w:style>
  <w:style w:type="character" w:styleId="877">
    <w:name w:val="WW8Num8z1"/>
    <w:next w:val="877"/>
    <w:link w:val="858"/>
    <w:pPr>
      <w:pBdr/>
      <w:spacing/>
      <w:ind/>
    </w:pPr>
    <w:rPr>
      <w:rFonts w:ascii="Courier New" w:hAnsi="Courier New" w:cs="Courier New"/>
    </w:rPr>
  </w:style>
  <w:style w:type="character" w:styleId="878">
    <w:name w:val="WW8Num8z2"/>
    <w:next w:val="878"/>
    <w:link w:val="858"/>
    <w:pPr>
      <w:pBdr/>
      <w:spacing/>
      <w:ind/>
    </w:pPr>
    <w:rPr>
      <w:rFonts w:ascii="Wingdings" w:hAnsi="Wingdings" w:cs="Wingdings"/>
    </w:rPr>
  </w:style>
  <w:style w:type="character" w:styleId="879">
    <w:name w:val="WW8Num9z1"/>
    <w:next w:val="879"/>
    <w:link w:val="858"/>
    <w:pPr>
      <w:pBdr/>
      <w:spacing/>
      <w:ind/>
    </w:pPr>
    <w:rPr>
      <w:rFonts w:ascii="Times New Roman" w:hAnsi="Times New Roman" w:eastAsia="Times New Roman" w:cs="Times New Roman"/>
    </w:rPr>
  </w:style>
  <w:style w:type="character" w:styleId="880">
    <w:name w:val="WW8Num9z2"/>
    <w:next w:val="880"/>
    <w:link w:val="858"/>
    <w:pPr>
      <w:pBdr/>
      <w:spacing/>
      <w:ind/>
    </w:pPr>
    <w:rPr>
      <w:rFonts w:ascii="Symbol" w:hAnsi="Symbol" w:cs="Symbol"/>
    </w:rPr>
  </w:style>
  <w:style w:type="character" w:styleId="881">
    <w:name w:val="WW8Num10z1"/>
    <w:next w:val="881"/>
    <w:link w:val="858"/>
    <w:pPr>
      <w:pBdr/>
      <w:spacing/>
      <w:ind/>
    </w:pPr>
    <w:rPr>
      <w:rFonts w:ascii="Symbol" w:hAnsi="Symbol" w:cs="Symbol"/>
    </w:rPr>
  </w:style>
  <w:style w:type="character" w:styleId="882">
    <w:name w:val="WW8Num11z0"/>
    <w:next w:val="882"/>
    <w:link w:val="858"/>
    <w:pPr>
      <w:pBdr/>
      <w:spacing/>
      <w:ind/>
    </w:pPr>
    <w:rPr>
      <w:rFonts w:ascii="Symbol" w:hAnsi="Symbol" w:cs="Symbol"/>
    </w:rPr>
  </w:style>
  <w:style w:type="character" w:styleId="883">
    <w:name w:val="WW8Num11z1"/>
    <w:next w:val="883"/>
    <w:link w:val="858"/>
    <w:pPr>
      <w:pBdr/>
      <w:spacing/>
      <w:ind/>
    </w:pPr>
    <w:rPr>
      <w:rFonts w:ascii="Courier New" w:hAnsi="Courier New" w:cs="Courier New"/>
    </w:rPr>
  </w:style>
  <w:style w:type="character" w:styleId="884">
    <w:name w:val="WW8Num11z2"/>
    <w:next w:val="884"/>
    <w:link w:val="858"/>
    <w:pPr>
      <w:pBdr/>
      <w:spacing/>
      <w:ind/>
    </w:pPr>
    <w:rPr>
      <w:rFonts w:ascii="Wingdings" w:hAnsi="Wingdings" w:cs="Wingdings"/>
    </w:rPr>
  </w:style>
  <w:style w:type="character" w:styleId="885">
    <w:name w:val="WW8Num12z1"/>
    <w:next w:val="885"/>
    <w:link w:val="858"/>
    <w:pPr>
      <w:pBdr/>
      <w:spacing/>
      <w:ind/>
    </w:pPr>
    <w:rPr>
      <w:rFonts w:ascii="Symbol" w:hAnsi="Symbol" w:cs="Symbol"/>
    </w:rPr>
  </w:style>
  <w:style w:type="character" w:styleId="886">
    <w:name w:val="WW8Num13z0"/>
    <w:next w:val="886"/>
    <w:link w:val="858"/>
    <w:pPr>
      <w:pBdr/>
      <w:spacing/>
      <w:ind/>
    </w:pPr>
    <w:rPr>
      <w:rFonts w:ascii="Symbol" w:hAnsi="Symbol" w:cs="Symbol"/>
    </w:rPr>
  </w:style>
  <w:style w:type="character" w:styleId="887">
    <w:name w:val="WW8Num13z1"/>
    <w:next w:val="887"/>
    <w:link w:val="858"/>
    <w:pPr>
      <w:pBdr/>
      <w:spacing/>
      <w:ind/>
    </w:pPr>
    <w:rPr>
      <w:rFonts w:ascii="Courier New" w:hAnsi="Courier New" w:cs="Courier New"/>
    </w:rPr>
  </w:style>
  <w:style w:type="character" w:styleId="888">
    <w:name w:val="WW8Num13z2"/>
    <w:next w:val="888"/>
    <w:link w:val="858"/>
    <w:pPr>
      <w:pBdr/>
      <w:spacing/>
      <w:ind/>
    </w:pPr>
    <w:rPr>
      <w:rFonts w:ascii="Wingdings" w:hAnsi="Wingdings" w:cs="Wingdings"/>
    </w:rPr>
  </w:style>
  <w:style w:type="character" w:styleId="889">
    <w:name w:val="WW8Num14z1"/>
    <w:next w:val="889"/>
    <w:link w:val="858"/>
    <w:pPr>
      <w:pBdr/>
      <w:spacing/>
      <w:ind/>
    </w:pPr>
    <w:rPr>
      <w:rFonts w:ascii="Symbol" w:hAnsi="Symbol" w:cs="Symbol"/>
    </w:rPr>
  </w:style>
  <w:style w:type="character" w:styleId="890">
    <w:name w:val="WW8Num16z0"/>
    <w:next w:val="890"/>
    <w:link w:val="858"/>
    <w:pPr>
      <w:pBdr/>
      <w:spacing/>
      <w:ind/>
    </w:pPr>
    <w:rPr>
      <w:rFonts w:ascii="Symbol" w:hAnsi="Symbol" w:cs="Symbol"/>
    </w:rPr>
  </w:style>
  <w:style w:type="character" w:styleId="891">
    <w:name w:val="WW8Num16z1"/>
    <w:next w:val="891"/>
    <w:link w:val="858"/>
    <w:pPr>
      <w:pBdr/>
      <w:spacing/>
      <w:ind/>
    </w:pPr>
    <w:rPr>
      <w:rFonts w:ascii="Courier New" w:hAnsi="Courier New" w:cs="Courier New"/>
    </w:rPr>
  </w:style>
  <w:style w:type="character" w:styleId="892">
    <w:name w:val="WW8Num16z2"/>
    <w:next w:val="892"/>
    <w:link w:val="858"/>
    <w:pPr>
      <w:pBdr/>
      <w:spacing/>
      <w:ind/>
    </w:pPr>
    <w:rPr>
      <w:rFonts w:ascii="Wingdings" w:hAnsi="Wingdings" w:cs="Wingdings"/>
    </w:rPr>
  </w:style>
  <w:style w:type="character" w:styleId="893">
    <w:name w:val="WW8Num17z0"/>
    <w:next w:val="893"/>
    <w:link w:val="858"/>
    <w:pPr>
      <w:pBdr/>
      <w:spacing/>
      <w:ind/>
    </w:pPr>
    <w:rPr>
      <w:rFonts w:ascii="Symbol" w:hAnsi="Symbol" w:cs="Symbol"/>
    </w:rPr>
  </w:style>
  <w:style w:type="character" w:styleId="894">
    <w:name w:val="WW8Num17z1"/>
    <w:next w:val="894"/>
    <w:link w:val="858"/>
    <w:pPr>
      <w:pBdr/>
      <w:spacing/>
      <w:ind/>
    </w:pPr>
    <w:rPr>
      <w:rFonts w:ascii="Courier New" w:hAnsi="Courier New" w:cs="Courier New"/>
    </w:rPr>
  </w:style>
  <w:style w:type="character" w:styleId="895">
    <w:name w:val="WW8Num17z2"/>
    <w:next w:val="895"/>
    <w:link w:val="858"/>
    <w:pPr>
      <w:pBdr/>
      <w:spacing/>
      <w:ind/>
    </w:pPr>
    <w:rPr>
      <w:rFonts w:ascii="Wingdings" w:hAnsi="Wingdings" w:cs="Wingdings"/>
    </w:rPr>
  </w:style>
  <w:style w:type="character" w:styleId="896">
    <w:name w:val="WW8Num18z0"/>
    <w:next w:val="896"/>
    <w:link w:val="858"/>
    <w:pPr>
      <w:pBdr/>
      <w:spacing/>
      <w:ind/>
    </w:pPr>
    <w:rPr>
      <w:rFonts w:ascii="Symbol" w:hAnsi="Symbol" w:cs="Symbol"/>
    </w:rPr>
  </w:style>
  <w:style w:type="character" w:styleId="897">
    <w:name w:val="WW8Num18z1"/>
    <w:next w:val="897"/>
    <w:link w:val="858"/>
    <w:pPr>
      <w:pBdr/>
      <w:spacing/>
      <w:ind/>
    </w:pPr>
  </w:style>
  <w:style w:type="character" w:styleId="898">
    <w:name w:val="WW8Num20z0"/>
    <w:next w:val="898"/>
    <w:link w:val="858"/>
    <w:pPr>
      <w:pBdr/>
      <w:spacing/>
      <w:ind/>
    </w:pPr>
    <w:rPr>
      <w:rFonts w:ascii="Symbol" w:hAnsi="Symbol" w:cs="Symbol"/>
    </w:rPr>
  </w:style>
  <w:style w:type="character" w:styleId="899">
    <w:name w:val="WW8Num20z1"/>
    <w:next w:val="899"/>
    <w:link w:val="858"/>
    <w:pPr>
      <w:pBdr/>
      <w:spacing/>
      <w:ind/>
    </w:pPr>
    <w:rPr>
      <w:rFonts w:ascii="Courier New" w:hAnsi="Courier New" w:cs="Courier New"/>
    </w:rPr>
  </w:style>
  <w:style w:type="character" w:styleId="900">
    <w:name w:val="WW8Num20z2"/>
    <w:next w:val="900"/>
    <w:link w:val="858"/>
    <w:pPr>
      <w:pBdr/>
      <w:spacing/>
      <w:ind/>
    </w:pPr>
    <w:rPr>
      <w:rFonts w:ascii="Wingdings" w:hAnsi="Wingdings" w:cs="Wingdings"/>
    </w:rPr>
  </w:style>
  <w:style w:type="character" w:styleId="901">
    <w:name w:val="WW8Num21z0"/>
    <w:next w:val="901"/>
    <w:link w:val="858"/>
    <w:pPr>
      <w:pBdr/>
      <w:spacing/>
      <w:ind/>
    </w:pPr>
    <w:rPr>
      <w:rFonts w:ascii="Symbol" w:hAnsi="Symbol" w:cs="Symbol"/>
    </w:rPr>
  </w:style>
  <w:style w:type="character" w:styleId="902">
    <w:name w:val="WW8Num21z1"/>
    <w:next w:val="902"/>
    <w:link w:val="858"/>
    <w:pPr>
      <w:pBdr/>
      <w:spacing/>
      <w:ind/>
    </w:pPr>
    <w:rPr>
      <w:rFonts w:ascii="Courier New" w:hAnsi="Courier New" w:cs="Courier New"/>
    </w:rPr>
  </w:style>
  <w:style w:type="character" w:styleId="903">
    <w:name w:val="WW8Num21z2"/>
    <w:next w:val="903"/>
    <w:link w:val="858"/>
    <w:pPr>
      <w:pBdr/>
      <w:spacing/>
      <w:ind/>
    </w:pPr>
    <w:rPr>
      <w:rFonts w:ascii="Wingdings" w:hAnsi="Wingdings" w:cs="Wingdings"/>
    </w:rPr>
  </w:style>
  <w:style w:type="character" w:styleId="904">
    <w:name w:val="WW8Num22z0"/>
    <w:next w:val="904"/>
    <w:link w:val="858"/>
    <w:pPr>
      <w:pBdr/>
      <w:spacing/>
      <w:ind/>
    </w:pPr>
    <w:rPr>
      <w:rFonts w:ascii="Symbol" w:hAnsi="Symbol" w:cs="Symbol"/>
    </w:rPr>
  </w:style>
  <w:style w:type="character" w:styleId="905">
    <w:name w:val="WW8Num22z1"/>
    <w:next w:val="905"/>
    <w:link w:val="858"/>
    <w:pPr>
      <w:pBdr/>
      <w:spacing/>
      <w:ind/>
    </w:pPr>
    <w:rPr>
      <w:rFonts w:ascii="Courier New" w:hAnsi="Courier New" w:cs="Courier New"/>
    </w:rPr>
  </w:style>
  <w:style w:type="character" w:styleId="906">
    <w:name w:val="WW8Num22z2"/>
    <w:next w:val="906"/>
    <w:link w:val="858"/>
    <w:pPr>
      <w:pBdr/>
      <w:spacing/>
      <w:ind/>
    </w:pPr>
    <w:rPr>
      <w:rFonts w:ascii="Wingdings" w:hAnsi="Wingdings" w:cs="Wingdings"/>
    </w:rPr>
  </w:style>
  <w:style w:type="character" w:styleId="907">
    <w:name w:val="WW8Num23z0"/>
    <w:next w:val="907"/>
    <w:link w:val="858"/>
    <w:pPr>
      <w:pBdr/>
      <w:spacing/>
      <w:ind/>
    </w:pPr>
    <w:rPr>
      <w:rFonts w:ascii="Symbol" w:hAnsi="Symbol" w:cs="Symbol"/>
    </w:rPr>
  </w:style>
  <w:style w:type="character" w:styleId="908">
    <w:name w:val="WW8Num24z0"/>
    <w:next w:val="908"/>
    <w:link w:val="858"/>
    <w:pPr>
      <w:pBdr/>
      <w:spacing/>
      <w:ind/>
    </w:pPr>
    <w:rPr>
      <w:rFonts w:ascii="Wingdings" w:hAnsi="Wingdings" w:cs="Wingdings"/>
    </w:rPr>
  </w:style>
  <w:style w:type="character" w:styleId="909">
    <w:name w:val="WW8Num24z1"/>
    <w:next w:val="909"/>
    <w:link w:val="858"/>
    <w:pPr>
      <w:pBdr/>
      <w:spacing/>
      <w:ind/>
    </w:pPr>
    <w:rPr>
      <w:rFonts w:ascii="Courier New" w:hAnsi="Courier New" w:cs="Courier New"/>
    </w:rPr>
  </w:style>
  <w:style w:type="character" w:styleId="910">
    <w:name w:val="WW8Num24z3"/>
    <w:next w:val="910"/>
    <w:link w:val="858"/>
    <w:pPr>
      <w:pBdr/>
      <w:spacing/>
      <w:ind/>
    </w:pPr>
    <w:rPr>
      <w:rFonts w:ascii="Symbol" w:hAnsi="Symbol" w:cs="Symbol"/>
    </w:rPr>
  </w:style>
  <w:style w:type="character" w:styleId="911">
    <w:name w:val="WW8Num25z1"/>
    <w:next w:val="911"/>
    <w:link w:val="858"/>
    <w:pPr>
      <w:pBdr/>
      <w:spacing/>
      <w:ind/>
    </w:pPr>
    <w:rPr>
      <w:rFonts w:ascii="Symbol" w:hAnsi="Symbol" w:cs="Symbol"/>
    </w:rPr>
  </w:style>
  <w:style w:type="character" w:styleId="912">
    <w:name w:val="Domyślna czcionka akapitu"/>
    <w:next w:val="912"/>
    <w:link w:val="858"/>
    <w:pPr>
      <w:pBdr/>
      <w:spacing/>
      <w:ind/>
    </w:pPr>
  </w:style>
  <w:style w:type="paragraph" w:styleId="913">
    <w:name w:val="Nagłówek"/>
    <w:basedOn w:val="858"/>
    <w:next w:val="914"/>
    <w:link w:val="858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914">
    <w:name w:val="Body Text"/>
    <w:basedOn w:val="858"/>
    <w:next w:val="914"/>
    <w:pPr>
      <w:pBdr/>
      <w:spacing w:after="140" w:before="0" w:line="276" w:lineRule="auto"/>
      <w:ind/>
    </w:pPr>
  </w:style>
  <w:style w:type="paragraph" w:styleId="915">
    <w:name w:val="List"/>
    <w:basedOn w:val="914"/>
    <w:next w:val="915"/>
    <w:link w:val="858"/>
    <w:pPr>
      <w:pBdr/>
      <w:spacing/>
      <w:ind/>
    </w:pPr>
    <w:rPr>
      <w:rFonts w:cs="Arial"/>
    </w:rPr>
  </w:style>
  <w:style w:type="paragraph" w:styleId="916">
    <w:name w:val="Caption"/>
    <w:basedOn w:val="858"/>
    <w:next w:val="916"/>
    <w:link w:val="858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917">
    <w:name w:val="Indeks"/>
    <w:basedOn w:val="858"/>
    <w:next w:val="917"/>
    <w:pPr>
      <w:suppressLineNumbers w:val="true"/>
      <w:pBdr/>
      <w:spacing/>
      <w:ind/>
    </w:pPr>
    <w:rPr>
      <w:rFonts w:cs="Arial"/>
    </w:rPr>
  </w:style>
  <w:style w:type="character" w:styleId="918" w:default="1">
    <w:name w:val="Default Paragraph Font"/>
    <w:uiPriority w:val="1"/>
    <w:semiHidden/>
    <w:unhideWhenUsed/>
    <w:pPr>
      <w:pBdr/>
      <w:spacing/>
      <w:ind/>
    </w:pPr>
  </w:style>
  <w:style w:type="numbering" w:styleId="919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Regionalne Centrum Medyczne</dc:title>
  <dc:creator>User</dc:creator>
  <cp:revision>37</cp:revision>
  <dcterms:created xsi:type="dcterms:W3CDTF">2024-04-03T09:56:00Z</dcterms:created>
  <dcterms:modified xsi:type="dcterms:W3CDTF">2024-07-03T11:00:11Z</dcterms:modified>
</cp:coreProperties>
</file>